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T:Craig Starey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John Arcand (from Fiddle Tunes 2004)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and chords: Grey Owl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very first pickups were originally 1/2 bar long and were def#, leading up to the 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N:But that's likely confusing to our dancers. So PLK matched it to every other time; a single note.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N:Originally bar B5 was same as bar A5, so that the whole second halves of the A and B parts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N:were identical. But that has potential confusion for the dancers, so Phil and Miche devised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 drastically differing bar B5, and Jay and Phil made the chords in the 2nd half of the 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N:part differ from those in 2nd half of the A part.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N:We hope John will be understanding of this tinkering with his tune.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Z:transcribed Ann Saban; abc's PLK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B|"G"gag "G/D"fed|"C"efg "G"dBG|"C"EGc "G"DGB|"A"A^ce "D"def|!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"G"gag "F#m"fed|"Em"efg "G"dBG|"C"EGc "G"BAG|"D"DGF "G"G2:|]!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D|"G"GBc BAG|"D"DGF   "G"G2  d|"C"efg "D"fed|"A"Ad^c "D"dBA|!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"G"GBG "Bm/F#"ABd|"C/E"efg "G/D"dBG|"C"EGc "G/B"BAG|"D/A"DGF "G"G2:|]!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