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T:Dorset 4-Hand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C:Melodeon version from Dorset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Gordon Day, Lytchett Matravers, Dorset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A:Dorsetshire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N:is tune comes packed inside every D/G black Erica melodeon.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N:All you have to do is put the batteries in, and it plays itself. ;-)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H:I learned this tune in the parking lot atop Mt. Constitution, on Orcas Island,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 WA, where Gordon Day and I were touring, when he brought me my first melodeon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 on his visit to the US Pac NW. Thanks to Pete Coe (then the English distributor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 or Hohner) who provided Gordon the "pick of the litter" from a recent ship ment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 from Germany, to bring over to me.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Z:PLK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D2|:"G"GABc d2   cB |"C"c2  e2  c2  e2  |"G"G2  "(no 'A')"Bc d3   c |"D"B2 A2 A2-  "^"A  A 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"G"GABc d2   cB |"C"c2  e2  c2 e2  |"G"G2 Bc d3   c |1"G"B2  "D"A2   "G"G2  BA :|2"G"B2  "D"A2   "G"G2 |]!/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|:Bd |"C"g2  g2  gf e2  |"G"d2-  "^"de dc B2  |"D" A3   B c2  A2  |"G"e2  d2   d2   "(D)"ef  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"C"g2  g2  gf e2  |"G"d2-  "^"de dc B2  |"D" A3   B c2  F2  |1"D"A2  "G"G2   G2  :|2"D"A2  "G"G2  G2  BA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