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T:Dorsetshire Hornpipe,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after Fiddler's Tunebook Vol.1; "box" chords PLK.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S:South English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O:South English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B:Fiddlers Tunebook Vol.1,  Peter Kennedy, ed.;  pub.EFDSS.1952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N:In 1980's played (as a New England Hornpipe, evenly spaced, at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N:speed of a reel) by April Limber at Lady of the Lake music/dance camp,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N:Coeur d'Alene Id, for the dance Lady of the Lake, then changing into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reel in G whose name is same as the dance.  Camp attended by PLK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H:Concurrently, picked up by Phil Katz both as an English Hornpipe and as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H:a reel.  Played evenly as a hornpipe., as is often done in S. of England.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H:Nice hornpipe medley (two English styles): Durham Rangers/Dorsetshire.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Z:Fiddlers Tunebook Vol.1,  pub.EFDSS.1952; abc's May 2012   Phil Katz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ag| "D"fefg agfe| dcdf A2  AG | "D"FAdf "A"gfed| "A"cdef e2  ag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"D"fefg "(A7)"agfe| "D"dcdf A2AG| "D"FAdf "A"egce| "D"d2  d2  d2 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cd| "A"edcB ABcd| edef e2  de| "D"fedc "Bm"Bcde| "Bm"fefg "D"f2  AG 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"D"FAd2  "Em"GBe2  |"D"Adf2  "G"Bdg2  |"D"f2  ed "A"Bdce|"D"d2  d2  d2  :|]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