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T:Down the Road and Open The Door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S:fr. Baxter Wareham, Placentia Bay, Nfld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R:polka-reel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O:Newfoundland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A:Placentia Bay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N:If played at contra speed, can serve as a march.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H:Baxter Wareham was a 3-row melodeon player on faculty at Fiddle Tunes 1989.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H:He played a G/C/F and this was originally in F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Z:abc's PLK 6/20/2021 from hand transcription, Fiddle Tunes 1989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 e |f d d c |B A F G |A B A F |A2  d e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 d d c |B A d f |e d e f |e c d e 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f d d c |B A F G |A B A F |A2  F A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B e e d |c A B c |d2  d2  |d2  de|]!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f a a b |a f d e |f a a b |a2  a f|!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f a a b |a f d f |f e e c |e c d e |]!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f d d c |B A F G |A B A F |A2  F A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 e e d |c A B c |d2  d2  |d2  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