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T:Elijah Harper's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John Arcand, Nov 1990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by Trent Bruner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D:Tune is on the "Fiddlers of Emma Lake" cassette Sept 1991.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H:In John's tune book it says: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H:Tune is named for Chief Elijah Harper, Manitoba MLA for Rupert's Land, and a prominent figure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H:in the demise of the Meech Lake Accord.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Z:Phil Katz Feb 2005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F3E|:"Dm"D2 d2 ABAG|FGFE DFED|"C"C2 EC GCEC|cBcA GECE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"Dm"D2 d2   ABAG|FEFG A2  A=B|"C"c=BcA   "Am"GECE|1"Dm"FD D2  D2 FE:|2"Dm"FDD2  D2A2 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[|:"Dm"ded^c   defg|abaf defd|"C"e [c2e2] [ce]   [c2e2]ef|gage cdec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"Dm"ded^c  defg|abag  a2eg|"F"fefd "Am"cAGE|1"Dm"FD D2  [D2A2] A2:|2"Dm"FD D2  [D2A2] FE  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X:4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T:Elijah Harper's Reel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C:by John Arcand, Nov 1990; arr PLK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S:chords by Trent Bruner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N:A conscious effort by PLK to "smooth over" _some_ but not all of the Metis accent,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N:leaving a smoother and "more Celtic" tune.  This version could be medleyed after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N:Round the Horn, and into Sackett's Harbor, for example. Or even last in that medley.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N:For melodeon, this lies naturally on a C/F, replacing the c# notes with A below.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D:Original arr of Arcand's  is on the "Fiddlers of Emma Lake" cassette; X:1 vers this file.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D:Sept 1991.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H:In John's tune book it says: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H:Tune is named for Chief Elijah Harper, Manitoba MLA for Rupert's Land, and a prominent figure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H:in the demise of the Meech Lake Accord.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Z:Phil Katz, March 2005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K:Dm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F3E|:"Dm"D2 d2 ABAG|FGFE DFED|"C"C2  EC  GCEC |c=BcA   GECE  |!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"Dm"D2  d2  ABAG|FEFG  A2  A=B|"C"c=BcA "Am"GECE|1"Dm"FEDC  D2  FE :|2"Dm"FD D2  D2 z2|]!/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[|"Dm"ded^c   defg|abaf defd|"C"ecef   e2  ef|gage cdec |!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"Dm"ded^c</w:t>
        <w:tab/>
        <w:t xml:space="preserve">defg|abag   a2  eg|"F"fefd "Am"cAGE|"Dm"FEDC   D2   z2   |]!/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[|"Dm"ded^c   defg|abaf defd|"C"e  [c2e2]  [ce]   [c2e2] ef|gage cdec  |!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"Dm"ded^c</w:t>
        <w:tab/>
        <w:t xml:space="preserve">defg|abag  a2 eg|"F"fefd "Am"cAGE|"Dm"FD D2  [D2A2]  FE  |]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