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T:Linehope Lope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T:Linhope Lope, Linehope Loup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S:after Pete Coe mss pages, late 1980's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R:hornpipe,polka,schottische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A:Northumberland/Borders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B:Miller &amp; Perron Fiddlecase Book of 101 Polkas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N:Linhope is a small village in Northumberland Nat'l Park between Alnwick (the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N:County Town) and the Scottish Border. Not clear where the "e" came from.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H:Pete Coe (who sold me my first melodeon, when he was distributor for Hohner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H:in England) toured in Seattle in mid-late 1980's, and was booked to play/call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H:an English Ceilidh at the Tractor Tavern. He invited interested locals to play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H:behind him, providing provided mss sheets of English jigs and hornpipes.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Z:abc's PLK 1/2022 fr. pages brought by Pete Coe.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F&gt;G|A2  f2  G2  e2  |d3   c d&gt;AF&gt;A |G2  E2  E&gt;FG&gt;A |B2  A&gt;B  A&gt;GF&gt;G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A2  f2  G2  e2  |d3   c d&gt;AF&gt;A |G2  E&gt;F G&gt;AB&gt;c |d&gt;AF&gt;AD2 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f&gt;g|a2  A2  A2  a2  |g2  B2  B2  d2  |c&gt;dc&gt;B A&gt;gf&gt;e |d&gt;cd&gt;e f&gt;ef&gt;g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a2  A2  A2  a2  |g2  B2  B2  d2  |c&gt;dc&gt;B A&gt;gf&gt;e |1d2  d&gt;c d&gt;ef&gt;g :|]2d4-  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