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Man from Newry (Hornpipe) 1730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C:After Sgt. O'Neill;  Music Of Ireland (The 1850)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S:I heard it from Flowers and Frolics Band lp or cassette.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N:Dan Quinn was strongly ethnically Irish, playing (it sounds to me like) a D/G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N:melodeon w/ an English ceilidh band, in London Islington.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N:PLK suggests deliberately different chords bars A3-A4 vs B3-B4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D2|"G"G2 g2 gd BG|"C"c2 e2 ef ge|"G"dB dg "C"ed cB|"C (Am)"AB cA "D"GF ED|!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"G"G2 g2 gd BG|"C"c2 e2 ef ge|"G"dB dg "D"ec AF|"G"G2 B2 G2:|]!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dc|"G"BG BG Bc dB|"C"ec ec ef ge|"G"dB dg ed cB|"D"AB cA "D"GF ED|!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"G"BG BG Bc dB|"C"ec ec ef ge|"G"dB dg "D"ec AF|"G"G2 B2 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