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Flame Point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C:Stuart Williams, Ides of March 2006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O:Seattle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N:In bars B1 &amp; B3, Stuart indicates to remain on the lower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N:note of the octave jump, while hitting the upper, thus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N:forming instantaneous double-stops.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H:Stuart named this after a flame-point kitty, of his acquaintance or his household.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Z:PLK 6/2021, from Stuart's 2006 handout, incl. the author's own chords.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"D"A2  fa fed2  |"Em"e4</w:t>
        <w:tab/>
        <w:t xml:space="preserve">B4</w:t>
        <w:tab/>
        <w:t xml:space="preserve">|e2  ef edBc |"D"dBAG "A7"FDEF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"D"D2  fa fed2 |"Em"e4</w:t>
        <w:tab/>
        <w:t xml:space="preserve">B4</w:t>
        <w:tab/>
        <w:t xml:space="preserve">|"G"g3   a gfeg |1"D"fefg fedB :|]2"D"fe\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fg gedA |]!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/"G"B2  bB bB-a2 |[B3g3]   b ag3   |"D"A2 aA aA-g2|"Bm7"[A3f3]   a gf3|!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"G"G2 g4</w:t>
        <w:tab/>
        <w:t xml:space="preserve">f2|"Em"e3  f ed3   |"C"c3   d cBAG|1"D"FDEF DEFA :|]2"D"FDEF DEFG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