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T:Fort Garry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 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Al Delorme, via Stuart Williams, Phil Katz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N:Ft Garry is the site now of Winnipeg MB; Lower Ft Garry is Selkirk MB.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N:They were trade forts, in the fur trade.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Z:Phil Katz 10/10/05 to match local version hand transcribed by Stuart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Z:Williams.  5/08, Phil added the long (half-bar) pickup into the first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Z:part, and a few of his favorite ornaments.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D2E-|"D"F2F FEF|DFA dcd|"A"{f}e2e ede|"D"f3 f2D/2E/2-|!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"D"F2F FEF|DFA d2D-|"A"EDE GFE|"D"D3 </w:t>
        <w:tab/>
        <w:t xml:space="preserve">:|!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|:z  {f}e-|"D"fef a2 (f|{g}f)ef d2 A-|"G"B2 B BAB|"Em"G3 GFE|!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"A"A,2 A, A,CE|c2c  c2[Bf]|1"A"A2g fec|"A"(A3  A) :|2"A"gfe cde|"D"d3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