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T:Fox Family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C:as played by John Arcand 7/2004; NW Fiddle Tunes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S:Chords by Trent Bruner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N:In the A2, bar 1 is played like bar 3; the "stop" (quarternote) is thus an intro, ie played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N:only at the beginning of the A1.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N:The F# (2nd note) in bar B5 is only sometimes there; otherwise B5 is like B1, but w/o the slur.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H:As played by John Arcand, at the July 2004 "Fiddle Tunes" Festival at Port Townsend WA.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H:Tune originally written for fiddlers Jamie Fox and Vince Fox, teenagers when they came up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H:from Montana to apprentice to Arcand.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Z:Transcription by Kristin Smith, Phil Katz, based on "Fiddle" 2004 performance tapes.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GF|"Em"E2  B,E  GBAG|"D"FDFA  d2  GF|"Em"EB,EF GBAG|"D"FD D2   D2 GF 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"Em"EB,EF GBAG|"D"FDFA dAFA|"D"GEFD "Em"EFED|"Bm"B,EED   "Em"E2 :|]!: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(3DEF|"G"G2-   GA BGBd|"G (Em)"eged   B2   (3BcB|"Am"A2  AB  AGEG|ABAG E2   (3DEF 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"G"GFGA BGBd |"Em (G)"eged   B2   (3BcB|"Am"A2  AB  AGEF|"D7"GBAF  "G"G2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