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T:Gigue de Terrebonne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T:Reel de René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S:after Aimé Gagnon; Fiddle Tunes 1996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N:Note that Aime' used different transitions into each part, depending on which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N:part he came _from_. Also he was very deliberate about inserting pauses (vs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N:strings of notes) as markers.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N:The eighth-note chords shown at the end of bars A2&amp;A6 were in fact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N:indeterminate notes, _possibly_ double-stops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D:There was an excellent  privately issued CD issued by his daughter Danielle;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D:various self- and gig-recordings. These were sold or distributed to musicians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D:who were interested in his style and tunes. Danielle was clear in wanting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D:his music to be widely distributed, not closely held. On this basis I can make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D:copies of this CD available to _seriously_ interested musicians; no charge.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H:Aimé Gagnon was a widely known and respected fiddler from Lotbiniére on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H:south shore of the St. Lawrence, until his remission from cancer failed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H:he died (age 75) after New Years 1997, roughly 6 mos after his visit 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H:Fiddle Tunes. The Saturday night before FT, he played a mixed Quebec-style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H:and contra dance, called by bilingual BC caller Marian Rose. Salmonberry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H:played his tunes (learned via his repertoire cassette) for the Quebec squares,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H:and our contra repertoire for the contra dances.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H:When we arrived at the hall he discovered he'd left the special dress shoes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H:he used (seated) to jig out the beat, and would've been seriously hampered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H:in his playing. Somebody was dispatched to fetch them.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Z:abc's PLK 11/2021 fr. 1999 PLK transcription of own tape of Aimé Gagnon from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Z:his 1996 Fiddle Tunes faculty visit.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c|d2  cd AFFA |d2  cde3   [Ac] |d2  cd (3BAB AG |FDEG FDDA |!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d2  cd AFFA |d2  cde3   [Ac] |d2  cd BAAG |1FDEFD2  z:|]2FABcd3</w:t>
        <w:tab/>
        <w:t xml:space="preserve">|]!/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[|:e|fAfA gfed |fefd Acde |fAf[Aa] gfed |cABc dAde |!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fAfA gfed |fefd Acde |fAfA gfed |1cABc dAd :|]2cABcd2  z|]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