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T:Girl With the Blue Dress 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S:after G. Wilson, FT 1999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O:Quebec-style 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N:There are (at least) two distinct versions of this tune; this one in a Quebec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N:style, favored by George Wilson, and an English version, more a polka or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N:bouncy march than a reel, from the Midlands and W. Yorks, that I had from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 cassette of the Leeds Band. The open arpeggios in both versions make 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N:possible that both started out in the melodeon styles of their regions.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N:If you're playing this on a D/G melodeon, replace the low-G pickup with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N:note of your choice, in the G chord. An interesting chord variation in bars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N:B7-8 is the 4-chord sequence D,A,D,G.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Z:abc's PLK 9/2021 fr. the Scotsbroome "book"; a transcription of G. Wilson 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Z:Fiddle Tunes 1999.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Bc|"G"d3   B "D"cBAc |"G"B2  G2  GDGB |"D"ADFA DFAc |"G"BGGF GABc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"G"d3  B "D"cBAc |"G"B2  G2  GDGB |"D"ADFA DFAc |"G"Gd "D"AF "G"G2  :|]!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G,2|"G"DGBd g3   g |"C"f2  e2  e3   A |"D"DFAdf3   f |"G"e2  d2  d^cd2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"G"DGBd g3   g |"C"f2  e2  eeag |"D"fedA ^cdef |"G"gfgag2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