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T:Glise de Sherbrooke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C:in Quebec, also called Reel de Tadoussac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Lisa Ornstein, FT 1980; hers possibly after Aime' Gagnon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DGA |B2-   Bc BAGB | d2  d2  BGBd | cdcB ADFA | dedc BAGA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B2-   Bc BAGB | d2  d2  BGBd | cdcB AGFA | G2-</w:t>
        <w:tab/>
        <w:t xml:space="preserve">GA G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ABd|"C"g2-   gf efge | d2  d2  BGBd | cdcB AGFA | dedc BGBd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"C"g2-   gf efge | d2   d2  BGBd | cdcB ADFA | G2-</w:t>
        <w:tab/>
        <w:t xml:space="preserve">GA G 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