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T:Good For The Tongue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T:The Washington Hornpipe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 State of Maine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S:after Laurie Andres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N:What makes tunes like this possible on melodeon is a 3-row E/A/D, rather than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 more usual A/D/G. Makes bars A2-3,A6-7,B1-3, B5-7 possible at speed,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N:w/o bellows work, playing diagonally across the rows.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H:In the US, this is a State of Maine tune. Laurie got it from Maine's Greg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H:Boardman and Bob Childs. Interestingly, almost identical is The Washington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H:Hornpipe, which you can find in G, A, and Bb in the various Kerr's Scottish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H:books. In that case it refers to Washington, County Durham (in the NE of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H:England),the ancestra l origin of George Washington.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Z:abc's PLK 8/2021 from own music-camp transcription, in Scotsbroome "book".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E2|ABcd eAAA |fAgA aAAA |FAFA EAAB |cdBG AGFE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ABcd eAAA |fAgA aAAA |FAFA EAAB |cdBGA2</w:t>
        <w:tab/>
        <w:t xml:space="preserve">:|]!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cd|eAAA eAAA |aAfA eAAA |aAfA eAAB |cdBG AGFE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eAAA eAAA |aAfA eAAA |aAfA eAAB |cdBGA2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