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3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T:Reel du Grandpere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 French-American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Betsy Cooper (nee Adamson); Scotsbroome, 1990's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Because of the nature of the triplets, and the feel on the instrument,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N:PLK suspects that the version is from a D/G or A/D/G multi-row box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N:player. The version fairly leaped onto my D/G.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 rest, in bar A5, was added by PLK; in the original, bar A5 was same as A1.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H:Played in last years of Scotsbroome (mid 1990's&gt;&gt;2000) medleyed into St. Joseph's Reel.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 abc's PLK 5/2010, from sheet music passed out by flute player Betsy Cooper (then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Z:Adamson) in Scotsbroome, not long after her arrival in Seattle.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AG|"D"FAAA ABAG |FAde f3</w:t>
        <w:tab/>
        <w:t xml:space="preserve">f |"G"g2  eg "D"fedf | "Em"edcB "A"ABAG 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"D"FA zA- ABAG|FAde f2   ff |"G"g2  eg "D"fedf |"A"egec "D"d2</w:t>
        <w:tab/>
        <w:t xml:space="preserve">:|]!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/|:(3DEF| "G"G2  FG (3EGE DF|GABc d3 </w:t>
        <w:tab/>
        <w:t xml:space="preserve">d |"C"ef (3gfe "G"dBGB|"Am"ABAG "D"FDEF  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"G"G2  FG (3EGE DF|GABc d3   d |"C"ef (3gfe "G"dBGB|"D"AcAF  "G"G2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