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T:Greenholm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Scots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Dave Ingledew, BVB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A:this vers: Hampshire South Coast, England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B:Kerr, Merrie Melodies V4, 1880's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N:Dave Ingledew has added notes where there were pauses (eg bar A4) to give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N:a little more "drive" than the original.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N:BVB medleyed this into "Sunday Morning", a jig that Dave wrote himself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D:"The Bursledon Village Band", sold on BVB website www.bursledonvillageband.co.u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H:Dave &amp; Joyce Ingledew (melodeon &amp;  fiddle) and their band Bursledon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H:(Hampshire) Village Band (BVB) were (1981 when I started melodeon) and are my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H:heroes. In business at least into 2019, their recordings still available and well received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H:as "classic" English Ceilidh.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Z:PLK 7/2021, from music sent 1994 by Dave Ingledew, Bursledon, Hampshire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d|"G"dBG GBd |"C"efgg2  e |"G"dBG GBd |"A7"ABG "D7"FED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"G"dBG GBd |"C"efgg2  e |"G"dBG "D7"ABA |"G"G3-   G2   :|]!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B/c/|"G"dBd gfg |"C"ede gfg |"G"dBG GAB |"A7"A3-   "D7"A2  d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"G"dBG GBd |"C"efgg2  e |"G"dBG "D7"ABA |"G"G3-   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