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T:Hexham West Boat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C:trad. Northumbrian; chords Pat Spaeth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B:One of the Nortumbrioan pipers' books, or the Charleton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N:This was written in an ambiguous key for the Northumbrian smallpipes, an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N:instrument having drones, not traditionally backed by chords. Pat,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N:arranging it for contra playing (with chords, of course), chose both to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N:emphasize that ambiguity and have "interesting" transitions. Pat, with her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N:diverse and deep musical background, is a genius at fitting tunes from one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N:tradition into another.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N:Imo this is a tune that nobody would fully "get by ear" in session One needs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N:dots to absorb the full genius of it.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Z:PLK 7/2021, from page in Scotsbroome or Salmonberry "book"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B2 c|"G"d2  dd2  g |"C"edc "(G)"B2  c |"G"d2  d def |"Em"g3  "C"f2  e |!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"G"d2  dd2  g |"C"edc "G"B3</w:t>
        <w:tab/>
        <w:t xml:space="preserve">|"Am"ecAA2  B |"C"c3</w:t>
        <w:tab/>
        <w:t xml:space="preserve">:|]!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B2 A|"Em"G2  G "C"G2  g |"G"dBGB2  c |dBGB2  B |"Em"g3     "C"f2  e |!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"G"G2  G "C"G2  g |"G"dBG BdB |"Am"A2  aA2  B |"C"c3</w:t>
        <w:tab/>
        <w:t xml:space="preserve">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