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T:Jig of Slurs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Q:116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C:trad, or Pipe Major George S. McLennan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S:Mike Richardson, from Chris Caswell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N:As we got it, a 64-bar tune (AABBCCDD), so you can wait to play it for a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N:64-bar conrra, OR play once thru tune = twice thru the dance. Or play ABCD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N:The vers attributed to Pipe Major McLennan has a good deal of pipe-band-like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N:syncopation in the three-note phrases. This was not present in the contra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N:dance version that Mike gave us.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Z:PLK 7/2021, to match Mike Richardson's transcription in Scotsbroome book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"D"A2  d dcd|"G"Bdd "D"Add|"G"Bdd "D"Add|"G"Bee "A"edB|!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"D"A2  d dcd|"G"Bdd "D"Add|"G"Bdd "A"cde|"A"fdc "D"d2  B:|]!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"D"A2  f fef|a2 f fed|"G(Em)"B2 e ede|"A"faf edB|!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"D"A2  f fef|a2 f fed|"G"Bdd "A"cde|"A"fdc "D"d3   :|]!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"G"G2   g gfg|"C"agf "G"gdB|"G"G2  g gfg|"C"agf "G"g2   d |!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"G"G2  g gfg|"C"agf "G"gdB|"Em"Bee efg|"D"fed "Em"e3   :|]!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"G"GBB Bdd|dee "C"edB|"G"GBB Bdd|dee "C"efg |!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"G"GBB Bdd|dee "C"edB|"Em"Bee efg|"D"fed "Em"e3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