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T:Joan's Jig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Henry Clough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S:from source "JD"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O:Northumberland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B:One of the Northumbrian pipers' books, or Charleton, shows source "JD"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N:Medleys used for contras: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N:Hexham West Boat/Bellingham Boat/Joan's Jig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N:Bellingham Boat/Mrs Monroe's/Joan's Jig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H:Henry (or Harry) Clough was father of the legendary smallpipes player and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H:composer Tom Clough.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H:I'm sure "JD" is an abbreviation for a standard mss ref in the bibliography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H:of one of the Northumbrian tunebooks (invariably well-referenced). I've seen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H:it but I can't find it again (probably laziness.)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Z:PLK 7/2021, from page in Scotsbroome  "book"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D|G2  G AFD |B2  B cAF |d2  Bc2  A |GBG AFD |!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G2  G AFD |B2  B cAF |d2  B cAF |DBAG2   :|]!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B/c/|d2  d dBG |c2  c cAF |dBG cAF |GBG AFD |!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GDG AFD |BGB cAF |dBG cAF |GBAG2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