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T:Joys Of Quebec (Les Joyeux Quebecois)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S:after Gilles Losier, transcribed by Pat Spaeth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N:Where you see melody "chords" those are mostly alternative notes.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N:But in general, fiddlers "fill the air" with open-string double stops,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 whatever chord is being played.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N:Also there is a third part, unused for contras, noted in the Salmonberry "book"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H:transcribed by Pat from Gilles Losier at Fiddle Tunes in the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H:1980's.  Pat's spelling of the French-Quebec vers of the title.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Z:c's Phil Katz from Pat's hand transcription, 3/2016.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K:Amaj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ee[|:e2 cc c2 ee | e2 cc c2 ee | f2 e2 d2 c2 | d2 BB B2 dd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d2 BB B2 dd | d2 BB B2 e2 |[1 g2 f2 e2 d2 | [c2e2]AA A2 ee :|]2[^d2g2] e2 f2 g2 | a4   a2 cd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e2z2 f3c | e2 e2-ecAB | c4 def2 | c4- c2 AB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c2 A2 G2 A2 | B4-</w:t>
        <w:tab/>
        <w:t xml:space="preserve">B[Ac][Bd][ce] |1 g2 f2 e2 d2 | c2 c2  d2 [^d2f2] :|]2d2 e2 f2 g2 |a4   A2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