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T:Julie Delaney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T:Julia Delaney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C:trad; after Salmonberry, following Barde recording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S:chords; Pat Spaeth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O:Irish inQuebec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N:This vers of an Irish tune, played Quebec-style, is much more driving than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N:more usual Irish-styled versions. Both Salmonberry and Pleasures of Home/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N:Small Pleasures have used this version as a "power reel" to close a dance.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N:I think Pat's chords display articular genius; initially typical Ddor "pattern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N:chords". Then a four-chord progression (in 2 bars, 4 beats) leaps out 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N:define the ending.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D:An old Quebec LP from the band Barde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Z:abc's PLK 8/2021 fr. Scotsbroome "book"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K:Ddor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"Dm"dcAGF2   DF |"C"E2  CE "Dm"F2  DF |"Dm"dcAGF2   DF |"Am"Addc "Dm"defe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"Dm"dcAGF2   DF |"C"E2  CE"Dm"F2  Ac |"Dm"dcAGF2  DF|"Am"Addc "Dm"d4 :|]!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"Dm"fede fagf |"C"ecgc acge |"Dm"fede fagf |"Am"edcB "Dm"Adde |!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"Dm"fede fagf |"C"ecgc acge |"F"fedf "C"edcB |"Am"Addc "Dm"d4 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