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Katz Meow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C:Bob McQuillen, July 2000 (Book 11); chords PLK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Z:  abc's PLK; March 2020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dB|"D"A2  AF Adfd |"D/G"B2  AF "D"A2  de |"D"fafd "A(Em)"edfe | "D(Bm)"dBAF "A"E2  dB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"D"A2  AF Adfd |"G"G2  AF "D"Adfa |"A" gfed ceag |"D" f2  d2  d2  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fg |"A!"agfg a2  ag |"Bm"fede f2  dB|"D"AFAd fagf | "A"f2 e2 e2 fg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"D"agfg a2  ag |"A(G/D)"fdeg "G"B2  dB |"D"Adfa "A"gecd |"A"e2  "D"d2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