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T:Ketterman's Reel #1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S:fr. Jim Ketterman, via Sarah Comer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R:Reel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N:This tune certainly gives the lie to the myth that only northern tunes will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N:serve for contras. This deep, well-phrased pentatonic modal WV tune in Am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N:would serve for any eye-contact "interaction" contra dance.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H:Sarah Comer, teacher and leader of the community band "Racoon Carnival", which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H:I briefly joined, brought this in. It was originally presented as "Nameless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H:Tune from Jim Ketterman". Ketterman, a WV fiddler now resident in the NW,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H:was one of her mentors, and she really brought the tune to life for us.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Z:abc's 11/2021 PLK from Sarah Comer's transcription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K:Am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EG|"Am"AGAB cBcd |"G"eged cAEG |"Am"AGAB cBcd |"E7"ee2-   eE2  EG |!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"Am"AGAB cBcd |"G"eged cA2  g- |"Am"gage "E7"cAc2   |"Am"A4-</w:t>
        <w:tab/>
        <w:t xml:space="preserve">A2 :|]!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eg|"Am"a2  g2  e2  d2  |"G"eged cAeg |"Am"a2  g2  ed3   |"E7"e4</w:t>
        <w:tab/>
        <w:t xml:space="preserve">e2  eg |!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"Am"a2  g2  e2  d2  |"G"eged cA2  g- |"Am"gage "E7"cAc2   |"Am"A4-</w:t>
        <w:tab/>
        <w:t xml:space="preserve">A2 :|]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