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T:Lamplighter's Hornpipe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C:trad; from tunebook of fifer Elijah Belknap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S:vers. Cole's (Ryan’s); and after Green Mt. Volunteers Recording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N:Sloppier ear-learned OT versions miss the distinction between bars A7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N:and B7. But imo the soaring intervals in B7 are of the essence. In particular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N:they're a clear marker for the dancers of the end of the "B" not the "A".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N:Elijah Belknap was a fifer during the U.S. War of Independence.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cd |ecec eagf | ecec eagf | ecec fedc | d2  B2  B2  cd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ecec eagf | ecec eagf | efde cdBc | A2 A2 A2 :|]!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cd | edcd e2  fe | dcBc d2  ed |c2-  cA dcBA | GABc B2  cd 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edcd e2  fe | dcBc d2  ed | caAc BAGB | A2  A2  A2 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