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T:Let Us Be Drinking and Kissing Women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T:The Rolling Wave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T:The Monk’s Jig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C:trad; Vashon Celtic Tunes site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S:from Laurel Stone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N:Online, other names: The Rolling Wave; The Monk's Jig.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N:thesession.org/tunes/3456 has it in Edor. But Laurel, seeing it in Ador on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N:the Vashon site, decided that’s really what it should've been.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H:Laurel Stone brought this into Fresh Cider March/April 2014. Could she like the title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H:because she is married to a man who makes beer? In any case it is a lovely "flow" jig.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Z:abc's, PLK from sheet music on the Vashon Celtic Tunes site.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"Am"EAB cBc |dcd e3</w:t>
        <w:tab/>
        <w:t xml:space="preserve">|"Am"EAB c2  e |"G"dcA GED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"Am"EAB cBc |dcd e3</w:t>
        <w:tab/>
        <w:t xml:space="preserve">|"Am"aba ged |"Em"cAG "Am"A3</w:t>
        <w:tab/>
        <w:t xml:space="preserve">:|]!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"Am"a3</w:t>
        <w:tab/>
        <w:t xml:space="preserve">aba |"G"gef ged |"Am"eaa aba |"G"ged cAG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"Am"a3</w:t>
        <w:tab/>
        <w:t xml:space="preserve">aba |"G"gef g3</w:t>
        <w:tab/>
        <w:t xml:space="preserve">|"Em it sez"aba ged |"Em"cAG "Am"A3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