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T:Little Nell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C:Tony Mates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O:Seattle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N:I've seen versions with more subtle triplet and double-stop ornaments, which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N:are likely more authentic. This is the simpleminded box version that my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N:melodeon and I (a notoriously inept ear-learner) picked up and play. 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N:definitely does "drive" the dancers and make them smile.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N:If you really want to learn this as Tony intends it, well show up at a session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N:where he does, and get him to play it for you and your "tune-grabber".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H:Little Nell was Tony and/or Catherine's kitty of the time. By coincidence, I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H:also had a kitty named Nellie, so I "adopted" the tune for my kitty too.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Z:PLK 9/2021, from Scotsbroome "book" and aural memory.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ef|g2  fed2  BA |GAGED2  F2  |G2  BB AB3  |d4</w:t>
        <w:tab/>
        <w:t xml:space="preserve">d2  ef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g2  fed2  BA |GAGED2  B,2   |C2   EED2   F2   |G4 </w:t>
        <w:tab/>
        <w:t xml:space="preserve">G2  :|]!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AG|FGAB ADF2   |G2  BBA2   B2   |c3   c2  BA2  |B3   B2  AG2 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FGAB ADF2   |G2  BBA2   B2</w:t>
        <w:tab/>
        <w:t xml:space="preserve">|C2   EED2   F2   |G4 </w:t>
        <w:tab/>
        <w:t xml:space="preserve">G2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