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T:Little Roy's Breakfast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C:Graham Townsend (Ontario, 1942-1998)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S:vers; Donna Hinds (now Hebert) in her Red Book.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N:No attempt was made to preserve Townsend's bowings and phrasings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N:as Donna did so carefully in the Red Book. Bands that played this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N:version were multi-instrumental. Thus we preserved (all using the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N:Red Book as source) Graham's notes but not his bow technique.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D:Donna hinds took her version from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D:Graham Townsend, Mr Country Fiddle, Marathon MMS76046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Z:Phil Katz abc's 3/19/20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FG |\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"D" A2- AG FDFA |"G" BABc dedB |"D"AF D2 DEFD |"A"ECA,2  A,2FG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"D" A2- AG FDFA |"G"BABc d4   |"A" ee2e efed  |"A" cABc "D"d2 :|]!/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[|: dB|\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"D" Adfd adfd | "G"Bdgd adgd | "D"Adfg afdf | "A"ecA2  A2dB  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"D" Adfd adfd | "G"Bdgd adgd | "A"ee2e efed  |"A"cABc "D"d2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