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T:Lorne Vineberg's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C:original (polka), copyright John Arcand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D:CD of the original version: Meeyashin, by John Arcand 2007 or 2008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H:Original by John Arcand, at ArcandFest 2008, Pike Lake, SK outside Saskatoon;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H:a 16 bar polka w/ a 2-bar break between the parts.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H:Transcribed there by Miche Baker-Harvey in John's workshop.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H:PLK removed the break, added the repeats, some syncopation, and some turns to make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H:it more hornpipe-like, in the style of "Kirkgate Hornpipe"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9/7/2009, PLK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Bc|"G"d2  b2  "D"c2  a2|"G"B2  gf g2  Bd |"D"cBAB cBce|"G"dBGA B2   Bc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"G"d b3   "D"c a3   |"G"Bg-gf gdBd |"D (Am)"cBAG "D"FGAF|"(G)"G2</w:t>
        <w:tab/>
        <w:t xml:space="preserve">"D"(3AFA  "G"G2   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|:AG|"D"FAdf a2   fa|"Em"gfge B2   ed|"A"cAEF GFGB|"D"AFDE F2   AG 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"D"FAdf a2   fa |"Em"gfge B2   ed |"A"ca-af gec[Ae] |"(D)"df"A"ec   "D"d2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