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T:Lumberjack's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 Métis (per "Medicine Fiddle" video)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Kitsap Co. fiddler Glenn Berry, via Stuart Williams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N:Phrasing marks are from Stuart's original hand transcription. 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N:addition, Stuart played repeated notes as if slurred together, or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N:almost slurred.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N:Recorded on Pleasures of Home "Yakima" CD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Z:Stuart Williams, set in abc's by Phil Katz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(fg|"D"aa)fd Adf(a|"A7"(3gag) e(c Ac)e(f|"A"ga)ge (cA)Bc|"D"defg a2(fg|!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"D"a2)f(d Ad)f(a|"A7"g2)e(c Ac)e(f|"A"gf)e(d cA)Bc|"D"d2[df]e d2:|!: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FG|"D"ABA(F DF)AA|"G"Bd B(G DG)BB|"D"ABAF DFAe|"D"fafd "A"e2FG|!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"D"ABA(F DF)AA|"G"Bd B(G DG)BB|"D"ABA(G FG A)(e|"D"f)d"A"e(c "D"d2):|!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% Output from ABC2Win  Version 2.1 f on 11/22/2003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% Written by ABC2Win  2.2.124 BETA on 10/22/2017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