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T:Manchester Galop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Australian via England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Flowers and Frolics via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"balances" at the top of the "B" part can be "played out" if the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N:dance doesnt want them in one "B" or the other. Since this is without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N:question a melodeon tune, the Am chord is questionable; probably a "D",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N:at least on the box.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H:Phil Katz got this off a Flowers and Frolics LP in the early 1980's, and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H:introduced it to Salmonberry; later to Scotsbroome.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d2c[|:"G"BdB G2d|BdB GBd|"C!"g2g f2e|"G"d3-d2c|!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"G"BdB G2-G|BdB G2B|"Am (or D)"A2B c2B|"D"A2e d2c|]!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"G"BdB GBG|BdB GBd|"C!"g2g f2e|"G"d3-d2B|!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"C"c2e edc|"G"B2d dcB|"D"A2c B2A|"G"G2d "D"def|]!/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[|:"G"g2z g3|"D"f2z f3|"C"e2f gfe|"G"d2B d2B|!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"C"c2e edc|"G"B2d dcB|"D"A2c B2A|1"G"G2d "D"def:|]2"G"G3 "(D7)"d2c|]!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T:Manchester Gallop (B part bar 1-2 if no balances; two choices)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[|: g2   g g2  g | f2  f f2   f || z [|: gag gfg | fgf f2   g/f/ ||z|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