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C:quadrille figure from Peter Beemer mss, Warren ID 1860's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S:researched/republished by Vivian Williams; this tune arr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N:When played on the melodeon, the original quadrille tune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N:just converted itself to a South English Polka.  Note that the licks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 the second part that were melodeon-like in their rhythm, were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N:not in the 1851 published original Fig 1 of "The Engagement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N:Quadrille" So it is feasible that they were added in Warren, possibly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N:by the box-player.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H:The original quadrille sett (sic) of dances was named "The Darkie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H:Sett", which followed white folks' language of the time.  In 2008 that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H:would be unsuitable.  Vivian Williams found this tune to be the same 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H:Figure I, "The Meeting" (originally in C) in "The Engagement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H:Quadrille",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H:by H. Kleber,  published in 1851. So we kept that title.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Z:Phil Katz 10/19/2008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[|:   A2|"D"fgfe  d2c2|"G"B2d2  "D"A2F2|"D"A2 ((3BcB  c2)d2 |"A"(e4{f}e2)   A2|!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"D"f3e  d2c2|"G"B2d2  "D"A2F2|"A"ABcd   f2e2  |"D"(d4     d2) :|]!/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[|:z2|"D"A2de  f2d2|a2de  fed2|"A"cdef   g2e2|"D"b2a2  agf2|!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"D"A2de  f2d2|a2d2   fed2|"A"cdef g2c2|"D/A"e2d2   "D"d2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