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T:My Darling Asleep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N:A sweet, gentle jig; for contra dances that emphasize interaction.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N:One may question whether the "B" part differs enough from the "A" part, 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N:allow use for contras, since the tune tells the dancers where they are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N:the dance. But it worked consistently for Scotsbroome (though not as a first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N:tune in a medley)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Z:abc's 12/2021 PLK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e|"D"fdd "A"cAA |"G"BAG "D"A2  G |"D"FAA def |"Em"gfg "A"eag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"D"fdd "A"cAA |"G"BAG "D"A2  G|"D"FAA def |"A"gec "D"d2   :|]!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A|"D"FAA dAG |FAA "G"B2  A |"D"FAA def |"Em"gfg "A"eag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"D"fdd "A"cAA |"G"BAG "D"A2  G |"D"FAA def |"A"gec "D"d2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