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Oak Leaf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1997 Susie Secco, arr.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Sarah Comer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O:Western Mass.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B:Along the River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have not cleared copyright permission to post this; if you're gonna 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N:beyond playing it at a session, or at a "small money" community dance (e.g.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N:record it), you really ought to get the author's permission. Secco makes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N:substantial part of her living through music. I also strongly recommend buying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N:the tunebook, which has _many_ superb tunes from the Connecticut River Valley,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N:a major center of contra dancing and contra dance music.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N:Medleys: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N:SCCB - Julie Delaney/Cuckoo's Nest/Oak Leaf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N:Sm. Pleasures - Glise de Sherbrooke/ Barn Raising/Oak Leaf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H:Seattle Community Contradance Band (later called Raccoon Carnival) played this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H:at a Folklife dance gig; the Bm/A to G chord-change drama really grabbed 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H:It's the tune that prompted me to join the band for a while. Band organizer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H:Sarah Comer has just superb choices of tunes.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Z:abc's PLK 12/2021, from Sarah Comer's handout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ag|"Bm"fBBf "A"edcB |"G"GBdB "A"ABag |"Bm"fB-Bf "A"edcB |"G"GBdB "A"A2ag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"Bm"fB-Bf "A"edcB |"G"GBdB "A"ABag |"Bm"fBBf "A"edcd|"A"edcd "Bm"B2    :|]!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zF|"G"G2  GF GABd |"A"Addc dcBA |"G"G2  GF GAB2   |"Bm"B2  AE F3   D 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"G"G2  GF GABd |"A"Addc d2  de |"Bm"fedf "A"edBA |"Bm"B2  BAB2 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