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T:Old John Tate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Glen Berry of Kitsap County, WA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S:Stuart Williams mss ca 1997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D:Pleasures of Home has recorded this, in a medley "Old John Tate"/St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D:Adelle's/Paddy on the Handcar" on a limited-release CD recorded live at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D:a dance. Get it from Voyager Recordings or PLK.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H:From Kitsap Co. fiddler Glen Berry, who got it from a fiddler John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H:Tate. Berry was in the habit of referring to anyone from his past as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H:"Old". Hence Old John Tate. Related to a tune "Land of Lincoln" (which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H:might have a 3rd part.)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N:Great tune for high-interaction dances; heys and eye contact.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N:Please see .rtf comment file for Paddy on a Handcar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N:On my D/G melodeon, I play the triplets AcA, to avoid disrupting the smoothness.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Z:abc's 5/2013 PLK, after 1997 mss from Stuart Williams; standard in Phil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Z:and Vivian Williams’ first Wednesday sessions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e2  a2  a3   g |a2  g2  edcA |cdcA BcBG |AcBG AGED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e2  a2  a3   g |a2  g2  edcA |cdcA BcBG |AGEG A4</w:t>
        <w:tab/>
        <w:t xml:space="preserve">:|]!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(3AGFE2  E4 </w:t>
        <w:tab/>
        <w:t xml:space="preserve">|A2  AB cde2  |(3AGFE2  E4 </w:t>
        <w:tab/>
        <w:t xml:space="preserve">|AcBG A2  A2 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(3AGFE2  E4 </w:t>
        <w:tab/>
        <w:t xml:space="preserve">|A2  AB cded |e2  d2  c2  Ac |BAGE A4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