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T:The Old Man and the Old Lady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C:trad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N:Substantially different (not just D vs G) from Old Man and Old Woman from the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N:Don Messer book. Playing this, it seems to me that the turns were written for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N:the convenience of a D/G or A/D/G boxplayer. Except for the G chord in bar B7,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N:inconsistent with the c# note. I'd just sit in the A chord, in bars B6-7.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Z:PLK 8/2021 from Scotsbroome "book"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FG|"D"ABAF DFAF |"A"GAGFE2  cd |"A"efec Acec |"D"defdA2  FG |!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"D"ABAF DFAF |"A"GAGFE2  cd |"A"efec Acec |d2  f2  d2  :|]!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FG|"D"Ad2  Ad2  cB |"A"Ac2  Ac2  BA  |"G"GB2  GB2  AG |"D"FGABA2  FG |!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"D"Ad2  Ad2  cB |"A"Ac2  Ac2  BA  |"(G)"GdcB "A"AGFE |"(D)"D2  "A"C&gt;E  "D"D2 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