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T:Ottawa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C:after J.O. LaMadeleine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S:one of the Canadian tunebooks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O:Canadian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N:This method of harmonic variation by going up (or up and down) in _major_,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N:is more common in plainsnand western Canada, than in Scottsh or Irish tunes.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N:I replaced pairs of eighth-notes w/ quarter-notes in bars A7 and B7, to better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N:enunciate the phrases for contra dancers.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N:The D/G box has no Fnat notes or chord, so replace the Fnat notes w/ A,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N:the F chord w/ just a (low) C note from a bass button  (since C is a note 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N:the F chord.)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D:On one of DeJarlis Lp's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Z:abc's PLK from tunebook markup in Grey Owl Band's tune-sets.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ef|"G"g2  ga gedc |BGBdg2  ef |"A"a3   b afed |^cAcea2  ef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"G"g2  ga gedc |BGBdg2  eg |"D"f2   edB2  Ac |"G"BGAFG2 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Ac|"G"BAGF GABG |"D"AGFE D2  DE |"F"=F2  FE FGAc |"G"BGBG "D"A2  dc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"G"BAGF GABG |"D"AGFE D2  DE |"F"=F2  FEF2  Ac |"D"BGAF "G"G2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