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T:Owen's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C:Randy Miller 11/1986; ©1990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H:Many of us here in Puget Sound got this tune from Randy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H:when he was faculty at Fiddle Tunes Festival at Port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H:Townsend. It thereby became a fave at the Scotsbroome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H:Seattle First Saturday Dance, and the RiffRaff Olympia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H:Fourth Saturday Dance.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N:Named a reel (I believe for his son) by the author, this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N:tune has the sound, to my ears, of a classic New England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N:hornpipe-reel, ie a hornpipe played at the speed of a reel.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a2af ecBc|ecfc ecBc|AEE2 ABcA|BEE2 Bcde|!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abaf ecBc|ecfc ecBc|ecac ecAc|B3c ABce:|]!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ecc2 ecfc|ecc2 AFEF|AEE2 ABcA|dBcA Bcdf|!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ecc2 ecfc|ecBc AFEF|ABce afec|B2Bc A3f:|]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