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T:Piss Upon the Grass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C:probably by Thomas Arne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S:Dr Bowser's Brown Bowel Oil Band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B:Walsh's Caledonian Country Dances, c. 1744.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N:AKA Nancy Dawson's; Nancy Dawson's Hornpipe; Here We Go Round the Mulberry Bush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D: Bowser's Brown Bowel Oil Band "Not to be Sniffed at"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D:(They had another LP "A Good Run For Your Money")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 Dawson was a famous stage dancer of hornpipes in London, at a time when mostly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 men did such dancing.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H:See https://en.wikipedia.org/wiki/Nancy_Dawson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Z:Phil Katz 11/2020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B|G2  G GAc |d2  B G2  B |A2  B A2  B|A2  G FED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G2  G GAc |d2  B G2  B |A2  G F2  E |D3-   D2   :|]!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B|A2  B A2  B |A2  B AFD |B2  c d2  e |d2  e dcB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c2  B c2 d |e2  f gfe |dcB AGF |G3-   G2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