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T:Queen Victory Country Dance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C:after Vivian Williams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S:fr. the John Neilson Music Book, 1875; republished by Voyager Recordings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N:No evidence in tune archives pointing to title "Queen Victoria" for this tune.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Z:abc's from PLK 12/2011, after Vivian Williams printed output, typeset from Neilson.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D|"G"G2   D {F}EDE|G2   G/2G/2 G2   e|"G"dcB BAG|"D"BAG EDE 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"G"G2   D {F}EDE|G2   G/2G/2 G2  e|"D"dcB AGA|"G"G2   G/2G/2 G   :|]!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[|:Bc|"G"ded dBd|"C"e2  fg2  e|"G"dcB BAG|"D"BAG E2   D |!/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|1"G"ded dBd|"C"e2  f g  e|"D"dcB AGA|"G"B2   d/2B/2 G:|]!/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|2"G"GAB "D"ABd|"G"Bcd "C"efg|"D"ded cBA|"G"G2   B/2G/2 G2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