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des Bois Brûlés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Marcel Meilleur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O:Winnipeg, Manitoba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B:Dr. Ed Whitcomb, Ed., Canadian Fiddle Music V.I p206, ISBN 0-9694667-0-6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N:This tune was never played at a gig of one of my bands; it is here in hopes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N:you'll take a look at it for one of yours.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H:"Bois Brûlés", literally meaning "scorched wood" is a term used by French-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H:hertiage Metis to denote "typical" Metis skin color, in between Caucasian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H:and First Nation or Native American. (In reality there is really no such thing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H:as "typical", given human variation in skin tone. eg I've personally met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H:brothers in a single Metis family who had substantially different skin tones.)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H:But as I understand Bois Brûlés has come to be a colloquial term _among_Metis_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H:for their own ethnicity.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Z:abc's 11/2021 PLK based on Meilleur's published vers (set in cut time and with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Z:small adjustments in the pickups and tail licks, to avoid 1st/2nd endings.)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(3DEF|"G"G2  Bc BAGB |gedBG2  Bd |"G"gdeg dBGB |"D7"AAFA DFAF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"G"G2  Bc BAGB |gedBG2  Bd |"G"gdeg dBGA |"D"BdAF "G"G2  :|]!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fa|"G"g2  dg bfag |"Am"eaag "D7"fdef |"G"g2  dg bgdB |"D7"ABcA "G"BGGf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"G"g2  dg bfag |"Am"eaag "D7"fdef |"G"gdeg dBGA |"D"BdAF "G"G2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