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T:Rig-a-Jig Jig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 English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S:vers. likely from Bursledon (Hampshire) Village Band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N:Probably Bursledon Village Band.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N:Percussive and legato beats in 2nd part can be modified to suit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N:the dance. This vers is set up for a balance at the start of 2nd part.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D:From one of my Gordon Day source tapes, many from the BBC Radio Solent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D:Folk Programme.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Z:abc's PLK 7/2012  modifying Dave Townsend's Book I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E|DED DED |B2  G GAB |c2  A FAc |d2  B GFE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DED DED |B2  G ABc |BdB cBA |G3   G2  :|]!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A/c/|"^"B3</w:t>
        <w:tab/>
        <w:t xml:space="preserve">"_"d3</w:t>
        <w:tab/>
        <w:t xml:space="preserve">|"^"e2  d B2 G |ABA E2   F |A2  G D3 </w:t>
        <w:tab/>
        <w:t xml:space="preserve">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"_"B3   "_"d3</w:t>
        <w:tab/>
        <w:t xml:space="preserve">|e2   d B2  G |ABA E2  F |G3</w:t>
        <w:tab/>
        <w:t xml:space="preserve">G2  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