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T:Saskatchewan Centennial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C:copyright 2005, John Arcand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 Trent Bruner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H:Saskatchewan began as a province Sept 4 1905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Z:Directly from a pdf transcription sent out by Vicki Arcand.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dB|"D"AFDF AFDF |"A7"EDCE "D"D2   FE |"D"DFAc dfed |"A7"[ce][Ae][A2e2] </w:t>
        <w:tab/>
        <w:t xml:space="preserve">[A2e2]   dB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"D"AFDF AFDF|"A7"EDCE "D"D2</w:t>
        <w:tab/>
        <w:t xml:space="preserve">FE |"D"DFAc dAFA | "A7"EBA[FA]   "D"[D2A2]    </w:t>
        <w:tab/>
        <w:t xml:space="preserve">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(3ABc|"D"d2 </w:t>
        <w:tab/>
        <w:t xml:space="preserve">fd AdFA |dfec d2  </w:t>
        <w:tab/>
        <w:t xml:space="preserve">(3fgf|"Em"e2 </w:t>
        <w:tab/>
        <w:t xml:space="preserve">ge Beed|"A7"ceAc egfe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"D"d2   fd AdFA | dfec  d2</w:t>
        <w:tab/>
        <w:t xml:space="preserve">ef |"G"gefd "Em"edcB |"A7"Agec "D"d2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