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T:Scollay's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Q:1/2=116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S:Shetland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N:Version from page New-33 in Salmonberry notebook.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N:Imo the C&gt;Em&gt;D transition, bars B3-4 is an essential "signature" of the tune.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  PLK beginning w/ abc's from memory recall of Cathie Whitesides.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|: "Em"E2 EF G2 A2 | BcBA GFGA | "Em"B2 E2 E2 G2 | "D"FGAF D2 F2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"Em"E2 EF G2 A2 | BABd e2 d2 | "Bm"B2-Bc BAGF | "Em"G2 E2 E4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|:  "Em"efge B2 B2 | g2 g2 B4 | "C"c2 BA "Em"G2 G2 | "D"FGAF D2 F2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"Em"E2 EF G2 A2 | BABd e2 d2 | "Bm"B2-Bc BAGF | "Em"G2 E2 E4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