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T:Da Shaalds O' Foula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C:trad, Shetland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S:setting, Peter Barnes, transcribed by Mike Richardson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O:Shetland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N:One can consider this to be in Dmix, or in G, but ending on its V chord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N:(as Mairi's Wedding does). I chose the latter.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N:In bar A4, you could show the first chord as D on off beat (as indicated)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N:or show the first chord on the downbeat as one of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N:D/A   D chord using 5-note as the bass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N:D7/C  D chord using 7-note as the bass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H:This came to us in Lady of the Lake Music/Dance Camp 1988, presented there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H:presented there by (then) Peter Barnes (now Kate Barnes.)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Z:PLK 7/2021 from Mike Richardson transcription in Scotsbroome "book"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"G"D2  EG2  B |"(Em)"edBA2  B |"C"ABAG2  D |E2  "D"F "G"G2  E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"G"D2  EG2  B |"(Em)"edBA2  B |"C"G2  AB2  c |1"D"d3   d3   :|]2"D"d3   def|]!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"G"g2  dd2  g |"C"edB "D"Aef |"G"g2GG2  B |"C"AGE "D"Def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"G"g2  dd2  g |"C"edB "D"A2  B |"C"G2  AB2  c |12"D"d3   def:|]2"D"d3   d3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