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T:Sheffield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C:trad North English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S:Janet Goulston first inspired me to play this, 1980's at Fiddle Tunes Camp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A:Northumberland, rather than Sheffield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B:Robin Williamson's tunebook (the triplet in bar B3 is mine)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N:May not easily be "driven" at contra dance speed 114-116,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  though I recall Stuart Williams was able to do so.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H:Sheffield/Miss Thompson's/Durham Rangers is a great set of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H:English hornpipes.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H:Playable for step-hop, borders hornpipe steps (like Schottische,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H:1-2-3-hop only straight ahead), or even as rants.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H:There were only occasional stepped English (ceilidh-type)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H:dances in Seattle, but this was a sure-fire workhorse set.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H:Miss T (especially); also the Durham Rangers can be driven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H:to contra dance speed (114-16); the Sheffield not so much.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Z:Phil Katz 3/28/2020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A2 |"D"D2  FA d3   c|"G"BGBd "D"A3   d|"A"c3   e"D"d3   f| “A”egfe dcBc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"D"D2  FA d3   c|"G"BGBd "D"A3   d | "G"BGBd "A"cAce |"D" d2  f2  d2  :|]!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cd|"A"ecA2  A2  de |"D"fdA2  A2  ef |"Em"gefd ec(3dcB | "A"cABG AGFE 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"D"D2  FA d3   c|"G"BGBd "D"A3   d | "G"BGBd "A"cAce |"D" d2  f2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