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T:Shove That Pig's Foot A Little Closer To The Fire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C:vers; Kitsap County Jeff Anderson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Laurel Stone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Z:Laurel Stone's transcription, proofing; abc's PLK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A2|"G"BcBA G2  E2  |"C"GAGE "G"D2  GE |D2  G2  B3c|"D"B2 A4-</w:t>
        <w:tab/>
        <w:t xml:space="preserve">A A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"G"BcBA G2  E2  |"C"GAGE "G"D2</w:t>
        <w:tab/>
        <w:t xml:space="preserve">GE |D2  G2 "D"B3G|"G"A2  G4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A2|"G"Bd- dB d2  d2  | "C"ed Bc "G"d4 </w:t>
        <w:tab/>
        <w:t xml:space="preserve">| "G"B2 d2 g3  g |"D"e2 d4 A2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"G"Bd- dB d2  d2  | "C"ed Bc "G"d4 </w:t>
        <w:tab/>
        <w:t xml:space="preserve">| "G"BABc "D"BAGB |"G"A2  G4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