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T:Silver Street Lasses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 Northumbrian (Newcastle-upon-Tyne)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N:The melody here follows one of the Northumbrian tunebooks; chords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N:greatly simplified for US usage, however.  There is some resemblance to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N:the Scottish tune "Loch Leven Castle."  However they differ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N:sufficiently that they cannot be played simultaneously without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N:dissonance.  Imo the "accent" (the type of runs and intervals) here is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N:distinctly "Geordie" - in the style of Northumbrian pipes.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N:The effect of the Geordie licks, the key, and the straightforward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N:chords gives (imo) a US northern old-time feel.  One could pass it off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N:as collected (say) in upstate NY or the hills of PA.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N:Medleys: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N:Round the Horn/ Far From Home/ Silver Street Lasses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N:Silver Street Lasses / The South Shore (D)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H:Silver Street - in Newcastle - upon - Tyne, in the tangle of streets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H:under the "New" High Level Bridge. Across the Tyne from Gateshead.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Z:Phil Katz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K:ADor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cB|"Am"A3B AGEG|AGAB cBcd|"(C)"efge "D"dedc|"G"BG3 G2cB  |!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"Am"A3B AGEG|AGAB cBcd|"C"efge "D"dedB|"Am"c2 A2  A2 :|:!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eg|"Am"a3b ageg|agab agef|"G"gage "D"dedc|"G     </w:t>
        <w:tab/>
        <w:t xml:space="preserve">(Em)"BG3 G2  |!/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|1eg|"Am"agab ageg|agab aged|"Am"cBcd "G"edcB|"Am"c2A2 A2 :|!/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|2cB|"Am"AGAB cBcd|e[A=f]ed cBAG|"Em"AcBd cedB|"Am"c2A2 A2  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