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T:Spootiskerry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C:Ian Burns (chords: Pat Spaeth)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S:Shetland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N:These chords differ substantially from the ones published in Portland Vol 1.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N:(The author in his tunebook, Spootiskerry, publishes no chords.)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lick in bar 7 of the B1, which differs from bars 3 of both B parts,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N:comes from an early (cassette) recording of Wild Asparagus, back when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N:they were less well known, and visiting Puget Sound for the first time.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 "G"G2 DE GDEG | DEGA "D"B2 AB | "G"G2 DE "Em"GABd | "Am7"eged "D7"B2 AB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"G"G2 DE GDEG | DEGA B2-B2 | "C"g2 ed "Am7"edBA |1 "D7"B2 G2 "G"G2 D2 :|2 "D7"B2 G2 "G"G4|]!/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"Em"g2 ed ed B2 | "Em"BABG "C"E2 DE | "G"GABd "Em7"eged | "Am7"B2 A2 "D"A2 ef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"Em"g2 ed ed B2 | "Em"BABG "C"E2 DE | "G"GABd "D7"gedc | "G"B2 G2 G4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"Em"g2 ed ed B2 | "Em"BABG "C"E2 DE | "G"GABd "Em7"eged | "A7"B2 A2 "D7"A2 D2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"G"G2 DE GDEG | DEGA B2-B2 | "C"g2 ed "Am7"edBA | "D7"B2 G2 "G"G4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