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St. Antoine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C:repertoire of Joe Bouchard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S:mainly after vers: R. Forést in "Quebec Pure Laine", and another in "Danse Ce Soir"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A:Quebec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N:Also called Saint Simeon by Richard Forést.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N:Bouchard's St Antoine was said to have had three parts.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D:Disc accompanying tunebook "Quebec Pure Laine";. Hart and Sandell also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D:point to Jos Bouchard "Reel Carnival"and have it on their accompanying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D:CD.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H:Phil Katz' adaptation for 3-row melodeon, mid 1980's-2000, mainly of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H:the version in the book/recording "Quebec Pure Laine" . As Played in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H:Scotsbroome Contra Dance Band over that period.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Z:abc's Phil Katz 8/2017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(3(Ace)[|:"A"a3   a aece | aa2   a aece | agfe dcBA | "E"GABG Eefg  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"A"a3   a aece | aa2   a aece | agfe dcBA |1 "E"GABG "A"A2</w:t>
        <w:tab/>
        <w:t xml:space="preserve">(3(Ace) :|]2/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"E"GABG "A"A2 </w:t>
        <w:tab/>
        <w:t xml:space="preserve">(3(BcB)  |]!/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"A"c3   c cAce | dcBA "(E)"GABc | "Bm"dd2   d dcdf | "E"edcB "(A)"(3(cdc) AB 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"A"c3   c cAce | dcBA "E"GABc | "Bm"defg "A"afed |1 "E"cABG "A"A&gt;(EA)B :|]2"E"cABG "A"A2</w:t>
        <w:tab/>
        <w:t xml:space="preserve">(3(Ace)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