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T:St. Louise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C:Rejean Lizotte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S:Andre Brunet bandlab Fiddle Tunes 2009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N:Seems to be identical to Reel du père Bruneau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N:A word here re the "magical" transcribing abilities of fiddler (and until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N:recently,  Seattle Symphony Violinist) Sande Gillette, who has long attended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N:Fiddle Tunes Festival. On one listen or maybe two, she is able to transcribe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N:any tune presented in a workshop into "the dots" accurately. These she so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N:generously shares with the rest of us who otherwise would have had to spend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N:hours listening to repeat passes through audio recordings. Instead, we can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N:focus on the staff member's style, knowing we won't make hash of the notes.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N:Yay Sande'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Z:Trans. Sande Gillette 7/1/2009; abc's PLK 4/8/2010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(3ABc|"D"dAFA "A"GBAG |"A"FAEA "D"D2   FA |"D"dfed "A"cBAG | "Em"FDEG "D"FDDc 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"D" dAFA "A"GBAG | "A"FAEA "D"D2   FA | "D" dfed "Em"cBAG | "A"FABc "D"d2    :|!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(3AFA|:"D"A2  FA ddAd | "Bm"ffdf "A"a2   z2  |"D" AAFA dFAd | "Em"c4  B4        |!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"Em"E2  F2  G2  A2   | "A"c3   c c2   B2   |"A" A2  cB AGFE |1 "D"DFAd"A"B2  AF :|2"D"DdAF D2    |]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